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58" w:rsidRPr="00FC7159" w:rsidRDefault="007C6EBE" w:rsidP="007C7D58">
      <w:pPr>
        <w:rPr>
          <w:rFonts w:asciiTheme="minorHAnsi" w:hAnsiTheme="minorHAnsi" w:cstheme="minorHAnsi"/>
          <w:b/>
        </w:rPr>
      </w:pPr>
      <w:r w:rsidRPr="00FC7159">
        <w:rPr>
          <w:rFonts w:asciiTheme="minorHAnsi" w:hAnsiTheme="minorHAnsi" w:cstheme="minorHAnsi"/>
          <w:b/>
        </w:rPr>
        <w:t>State Street</w:t>
      </w:r>
      <w:r w:rsidR="0079707F" w:rsidRPr="00FC7159">
        <w:rPr>
          <w:rFonts w:asciiTheme="minorHAnsi" w:hAnsiTheme="minorHAnsi" w:cstheme="minorHAnsi"/>
          <w:b/>
        </w:rPr>
        <w:t>’s</w:t>
      </w:r>
      <w:r w:rsidRPr="00FC7159">
        <w:rPr>
          <w:rFonts w:asciiTheme="minorHAnsi" w:hAnsiTheme="minorHAnsi" w:cstheme="minorHAnsi"/>
          <w:b/>
        </w:rPr>
        <w:t xml:space="preserve"> Chart of the Week – </w:t>
      </w:r>
      <w:r w:rsidR="00B21CD4" w:rsidRPr="00FC7159">
        <w:rPr>
          <w:rFonts w:asciiTheme="minorHAnsi" w:hAnsiTheme="minorHAnsi" w:cstheme="minorHAnsi"/>
          <w:b/>
        </w:rPr>
        <w:t>Media Sentiment towards Global Epidemics</w:t>
      </w:r>
    </w:p>
    <w:p w:rsidR="007C6EBE" w:rsidRPr="00577DD6" w:rsidRDefault="007C6EBE" w:rsidP="007C6EBE">
      <w:pPr>
        <w:rPr>
          <w:rFonts w:asciiTheme="minorHAnsi" w:hAnsiTheme="minorHAnsi" w:cstheme="minorHAnsi"/>
        </w:rPr>
      </w:pPr>
    </w:p>
    <w:p w:rsidR="00577DD6" w:rsidRPr="00577DD6" w:rsidRDefault="00577DD6" w:rsidP="00577DD6">
      <w:pPr>
        <w:rPr>
          <w:rFonts w:asciiTheme="minorHAnsi" w:hAnsiTheme="minorHAnsi" w:cstheme="minorHAnsi"/>
        </w:rPr>
      </w:pPr>
      <w:r w:rsidRPr="00577DD6">
        <w:rPr>
          <w:rFonts w:asciiTheme="minorHAnsi" w:hAnsiTheme="minorHAnsi" w:cstheme="minorHAnsi"/>
        </w:rPr>
        <w:t xml:space="preserve">Please see below the latest ‘Chart of the Week’ from </w:t>
      </w:r>
      <w:hyperlink r:id="rId8" w:history="1">
        <w:r w:rsidRPr="00577DD6">
          <w:rPr>
            <w:rStyle w:val="Collegamentoipertestuale"/>
            <w:rFonts w:asciiTheme="minorHAnsi" w:hAnsiTheme="minorHAnsi" w:cstheme="minorHAnsi"/>
          </w:rPr>
          <w:t>State Street Global Markets</w:t>
        </w:r>
      </w:hyperlink>
      <w:r w:rsidRPr="00577DD6">
        <w:rPr>
          <w:rFonts w:asciiTheme="minorHAnsi" w:hAnsiTheme="minorHAnsi" w:cstheme="minorHAnsi"/>
        </w:rPr>
        <w:t xml:space="preserve">. </w:t>
      </w:r>
    </w:p>
    <w:p w:rsidR="00F72157" w:rsidRPr="00E866EE" w:rsidRDefault="00F72157" w:rsidP="000A5BD6">
      <w:pPr>
        <w:rPr>
          <w:rFonts w:asciiTheme="minorHAnsi" w:hAnsiTheme="minorHAnsi" w:cstheme="minorHAnsi"/>
          <w:b/>
        </w:rPr>
      </w:pPr>
    </w:p>
    <w:p w:rsidR="00E65EC7" w:rsidRDefault="00F64295" w:rsidP="007D6BC7">
      <w:pPr>
        <w:rPr>
          <w:rFonts w:asciiTheme="minorHAnsi" w:hAnsiTheme="minorHAnsi" w:cstheme="minorHAnsi"/>
        </w:rPr>
      </w:pPr>
      <w:r>
        <w:rPr>
          <w:rFonts w:asciiTheme="minorHAnsi" w:hAnsiTheme="minorHAnsi" w:cstheme="minorHAnsi"/>
        </w:rPr>
        <w:t>“</w:t>
      </w:r>
      <w:r w:rsidR="00CE7C59">
        <w:rPr>
          <w:rFonts w:asciiTheme="minorHAnsi" w:hAnsiTheme="minorHAnsi" w:cstheme="minorHAnsi"/>
        </w:rPr>
        <w:t>Roughly</w:t>
      </w:r>
      <w:r w:rsidR="0073642C">
        <w:rPr>
          <w:rFonts w:asciiTheme="minorHAnsi" w:hAnsiTheme="minorHAnsi" w:cstheme="minorHAnsi"/>
        </w:rPr>
        <w:t xml:space="preserve"> one month</w:t>
      </w:r>
      <w:r w:rsidR="00A8510B">
        <w:rPr>
          <w:rFonts w:asciiTheme="minorHAnsi" w:hAnsiTheme="minorHAnsi" w:cstheme="minorHAnsi"/>
        </w:rPr>
        <w:t xml:space="preserve"> </w:t>
      </w:r>
      <w:r w:rsidR="00CE7C59">
        <w:rPr>
          <w:rFonts w:asciiTheme="minorHAnsi" w:hAnsiTheme="minorHAnsi" w:cstheme="minorHAnsi"/>
        </w:rPr>
        <w:t xml:space="preserve">on from </w:t>
      </w:r>
      <w:r w:rsidR="00A8510B">
        <w:rPr>
          <w:rFonts w:asciiTheme="minorHAnsi" w:hAnsiTheme="minorHAnsi" w:cstheme="minorHAnsi"/>
        </w:rPr>
        <w:t xml:space="preserve">the first mention of the Coronavirus, the intensity of </w:t>
      </w:r>
      <w:r w:rsidR="00CE7C59" w:rsidRPr="00CE7C59">
        <w:rPr>
          <w:rFonts w:asciiTheme="minorHAnsi" w:hAnsiTheme="minorHAnsi" w:cstheme="minorHAnsi"/>
        </w:rPr>
        <w:t>media coverage</w:t>
      </w:r>
      <w:r w:rsidR="007D509E">
        <w:rPr>
          <w:rFonts w:asciiTheme="minorHAnsi" w:hAnsiTheme="minorHAnsi" w:cstheme="minorHAnsi"/>
        </w:rPr>
        <w:t>,</w:t>
      </w:r>
      <w:r w:rsidR="00CE7C59">
        <w:rPr>
          <w:rFonts w:asciiTheme="minorHAnsi" w:hAnsiTheme="minorHAnsi" w:cstheme="minorHAnsi"/>
        </w:rPr>
        <w:t xml:space="preserve"> according to our </w:t>
      </w:r>
      <w:r w:rsidR="00CE7C59" w:rsidRPr="00CE7C59">
        <w:rPr>
          <w:rFonts w:asciiTheme="minorHAnsi" w:hAnsiTheme="minorHAnsi" w:cstheme="minorHAnsi"/>
        </w:rPr>
        <w:t>measure of media sentiment*</w:t>
      </w:r>
      <w:r w:rsidR="007D509E">
        <w:rPr>
          <w:rFonts w:asciiTheme="minorHAnsi" w:hAnsiTheme="minorHAnsi" w:cstheme="minorHAnsi"/>
        </w:rPr>
        <w:t>,</w:t>
      </w:r>
      <w:r w:rsidR="00CE7C59">
        <w:rPr>
          <w:rFonts w:asciiTheme="minorHAnsi" w:hAnsiTheme="minorHAnsi" w:cstheme="minorHAnsi"/>
        </w:rPr>
        <w:t xml:space="preserve"> is eight</w:t>
      </w:r>
      <w:r w:rsidR="00CE7C59" w:rsidRPr="00E65EC7">
        <w:rPr>
          <w:rFonts w:asciiTheme="minorHAnsi" w:hAnsiTheme="minorHAnsi" w:cstheme="minorHAnsi"/>
        </w:rPr>
        <w:t xml:space="preserve"> times </w:t>
      </w:r>
      <w:r w:rsidR="00CE7C59">
        <w:rPr>
          <w:rFonts w:asciiTheme="minorHAnsi" w:hAnsiTheme="minorHAnsi" w:cstheme="minorHAnsi"/>
        </w:rPr>
        <w:t>greater</w:t>
      </w:r>
      <w:r w:rsidR="00CE7C59" w:rsidRPr="00E65EC7">
        <w:rPr>
          <w:rFonts w:asciiTheme="minorHAnsi" w:hAnsiTheme="minorHAnsi" w:cstheme="minorHAnsi"/>
        </w:rPr>
        <w:t xml:space="preserve"> than </w:t>
      </w:r>
      <w:r w:rsidR="007D509E">
        <w:rPr>
          <w:rFonts w:asciiTheme="minorHAnsi" w:hAnsiTheme="minorHAnsi" w:cstheme="minorHAnsi"/>
        </w:rPr>
        <w:t xml:space="preserve">that for the </w:t>
      </w:r>
      <w:r w:rsidR="00CE7C59" w:rsidRPr="00E65EC7">
        <w:rPr>
          <w:rFonts w:asciiTheme="minorHAnsi" w:hAnsiTheme="minorHAnsi" w:cstheme="minorHAnsi"/>
        </w:rPr>
        <w:t>SARS</w:t>
      </w:r>
      <w:r w:rsidR="00CE7C59">
        <w:rPr>
          <w:rFonts w:asciiTheme="minorHAnsi" w:hAnsiTheme="minorHAnsi" w:cstheme="minorHAnsi"/>
        </w:rPr>
        <w:t xml:space="preserve"> (2003), Ebola (2014)</w:t>
      </w:r>
      <w:r w:rsidR="00CE7C59" w:rsidRPr="00E65EC7">
        <w:rPr>
          <w:rFonts w:asciiTheme="minorHAnsi" w:hAnsiTheme="minorHAnsi" w:cstheme="minorHAnsi"/>
        </w:rPr>
        <w:t xml:space="preserve"> and ZIKA </w:t>
      </w:r>
      <w:r w:rsidR="00CE7C59">
        <w:rPr>
          <w:rFonts w:asciiTheme="minorHAnsi" w:hAnsiTheme="minorHAnsi" w:cstheme="minorHAnsi"/>
        </w:rPr>
        <w:t>(2016)</w:t>
      </w:r>
      <w:r w:rsidR="007D509E">
        <w:rPr>
          <w:rFonts w:asciiTheme="minorHAnsi" w:hAnsiTheme="minorHAnsi" w:cstheme="minorHAnsi"/>
        </w:rPr>
        <w:t xml:space="preserve"> viruses</w:t>
      </w:r>
      <w:r w:rsidR="00CE7C59">
        <w:rPr>
          <w:rFonts w:asciiTheme="minorHAnsi" w:hAnsiTheme="minorHAnsi" w:cstheme="minorHAnsi"/>
        </w:rPr>
        <w:t xml:space="preserve"> following their respective outbreaks</w:t>
      </w:r>
      <w:r w:rsidR="00CE7C59" w:rsidRPr="00E65EC7">
        <w:rPr>
          <w:rFonts w:asciiTheme="minorHAnsi" w:hAnsiTheme="minorHAnsi" w:cstheme="minorHAnsi"/>
        </w:rPr>
        <w:t>.</w:t>
      </w:r>
      <w:r w:rsidR="00CE7C59">
        <w:rPr>
          <w:rFonts w:asciiTheme="minorHAnsi" w:hAnsiTheme="minorHAnsi" w:cstheme="minorHAnsi"/>
        </w:rPr>
        <w:t xml:space="preserve"> </w:t>
      </w:r>
      <w:r w:rsidR="00E65EC7" w:rsidRPr="00E65EC7">
        <w:rPr>
          <w:rFonts w:asciiTheme="minorHAnsi" w:hAnsiTheme="minorHAnsi" w:cstheme="minorHAnsi"/>
        </w:rPr>
        <w:t>Perhaps reflect</w:t>
      </w:r>
      <w:r w:rsidR="00CE7C59">
        <w:rPr>
          <w:rFonts w:asciiTheme="minorHAnsi" w:hAnsiTheme="minorHAnsi" w:cstheme="minorHAnsi"/>
        </w:rPr>
        <w:t>ing</w:t>
      </w:r>
      <w:r w:rsidR="00E65EC7" w:rsidRPr="00E65EC7">
        <w:rPr>
          <w:rFonts w:asciiTheme="minorHAnsi" w:hAnsiTheme="minorHAnsi" w:cstheme="minorHAnsi"/>
        </w:rPr>
        <w:t xml:space="preserve"> the severity of the virus or stronger measure</w:t>
      </w:r>
      <w:r w:rsidR="007D509E">
        <w:rPr>
          <w:rFonts w:asciiTheme="minorHAnsi" w:hAnsiTheme="minorHAnsi" w:cstheme="minorHAnsi"/>
        </w:rPr>
        <w:t xml:space="preserve">s </w:t>
      </w:r>
      <w:proofErr w:type="gramStart"/>
      <w:r w:rsidR="007D509E">
        <w:rPr>
          <w:rFonts w:asciiTheme="minorHAnsi" w:hAnsiTheme="minorHAnsi" w:cstheme="minorHAnsi"/>
        </w:rPr>
        <w:t>being taken</w:t>
      </w:r>
      <w:proofErr w:type="gramEnd"/>
      <w:r w:rsidR="007D509E">
        <w:rPr>
          <w:rFonts w:asciiTheme="minorHAnsi" w:hAnsiTheme="minorHAnsi" w:cstheme="minorHAnsi"/>
        </w:rPr>
        <w:t xml:space="preserve"> by</w:t>
      </w:r>
      <w:r w:rsidR="00E65EC7" w:rsidRPr="00E65EC7">
        <w:rPr>
          <w:rFonts w:asciiTheme="minorHAnsi" w:hAnsiTheme="minorHAnsi" w:cstheme="minorHAnsi"/>
        </w:rPr>
        <w:t xml:space="preserve"> the Chinese government to contain </w:t>
      </w:r>
      <w:r w:rsidR="007D509E">
        <w:rPr>
          <w:rFonts w:asciiTheme="minorHAnsi" w:hAnsiTheme="minorHAnsi" w:cstheme="minorHAnsi"/>
        </w:rPr>
        <w:t>it</w:t>
      </w:r>
      <w:r w:rsidR="00E65EC7" w:rsidRPr="00E65EC7">
        <w:rPr>
          <w:rFonts w:asciiTheme="minorHAnsi" w:hAnsiTheme="minorHAnsi" w:cstheme="minorHAnsi"/>
        </w:rPr>
        <w:t>. Either way, one would hope that the increased measures</w:t>
      </w:r>
      <w:r w:rsidR="007D509E">
        <w:rPr>
          <w:rFonts w:asciiTheme="minorHAnsi" w:hAnsiTheme="minorHAnsi" w:cstheme="minorHAnsi"/>
        </w:rPr>
        <w:t xml:space="preserve">, media </w:t>
      </w:r>
      <w:r w:rsidR="00E65EC7" w:rsidRPr="00E65EC7">
        <w:rPr>
          <w:rFonts w:asciiTheme="minorHAnsi" w:hAnsiTheme="minorHAnsi" w:cstheme="minorHAnsi"/>
        </w:rPr>
        <w:t>coverage</w:t>
      </w:r>
      <w:r w:rsidR="007D509E">
        <w:rPr>
          <w:rFonts w:asciiTheme="minorHAnsi" w:hAnsiTheme="minorHAnsi" w:cstheme="minorHAnsi"/>
        </w:rPr>
        <w:t xml:space="preserve">, and, in turn, </w:t>
      </w:r>
      <w:r w:rsidR="00E65EC7" w:rsidRPr="00E65EC7">
        <w:rPr>
          <w:rFonts w:asciiTheme="minorHAnsi" w:hAnsiTheme="minorHAnsi" w:cstheme="minorHAnsi"/>
        </w:rPr>
        <w:t>awareness</w:t>
      </w:r>
      <w:r w:rsidR="007D509E">
        <w:rPr>
          <w:rFonts w:asciiTheme="minorHAnsi" w:hAnsiTheme="minorHAnsi" w:cstheme="minorHAnsi"/>
        </w:rPr>
        <w:t xml:space="preserve"> of this epidemic</w:t>
      </w:r>
      <w:r w:rsidR="00E65EC7" w:rsidRPr="00E65EC7">
        <w:rPr>
          <w:rFonts w:asciiTheme="minorHAnsi" w:hAnsiTheme="minorHAnsi" w:cstheme="minorHAnsi"/>
        </w:rPr>
        <w:t xml:space="preserve"> will contribute to a </w:t>
      </w:r>
      <w:r w:rsidR="007D509E">
        <w:rPr>
          <w:rFonts w:asciiTheme="minorHAnsi" w:hAnsiTheme="minorHAnsi" w:cstheme="minorHAnsi"/>
        </w:rPr>
        <w:t>faster</w:t>
      </w:r>
      <w:r w:rsidR="007D509E" w:rsidRPr="00E65EC7">
        <w:rPr>
          <w:rFonts w:asciiTheme="minorHAnsi" w:hAnsiTheme="minorHAnsi" w:cstheme="minorHAnsi"/>
        </w:rPr>
        <w:t xml:space="preserve"> </w:t>
      </w:r>
      <w:r w:rsidR="00E65EC7" w:rsidRPr="00E65EC7">
        <w:rPr>
          <w:rFonts w:asciiTheme="minorHAnsi" w:hAnsiTheme="minorHAnsi" w:cstheme="minorHAnsi"/>
        </w:rPr>
        <w:t>reversal.”</w:t>
      </w:r>
    </w:p>
    <w:p w:rsidR="00F72157" w:rsidRDefault="00F72157" w:rsidP="000A5BD6">
      <w:pPr>
        <w:rPr>
          <w:rFonts w:asciiTheme="minorHAnsi" w:hAnsiTheme="minorHAnsi" w:cstheme="minorHAnsi"/>
        </w:rPr>
      </w:pPr>
    </w:p>
    <w:p w:rsidR="00CD4AAC" w:rsidRDefault="0073642C" w:rsidP="00CD4AAC">
      <w:pPr>
        <w:spacing w:line="276" w:lineRule="auto"/>
        <w:jc w:val="both"/>
        <w:rPr>
          <w:rFonts w:eastAsia="Times New Roman"/>
        </w:rPr>
      </w:pPr>
      <w:r>
        <w:rPr>
          <w:noProof/>
          <w:lang w:val="it-IT" w:eastAsia="it-IT"/>
        </w:rPr>
        <w:drawing>
          <wp:inline distT="0" distB="0" distL="0" distR="0" wp14:anchorId="7E4531E7" wp14:editId="7D020273">
            <wp:extent cx="4562475" cy="2818746"/>
            <wp:effectExtent l="0" t="0" r="0" b="127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565099" cy="2820367"/>
                    </a:xfrm>
                    <a:prstGeom prst="rect">
                      <a:avLst/>
                    </a:prstGeom>
                    <a:noFill/>
                    <a:ln>
                      <a:noFill/>
                    </a:ln>
                  </pic:spPr>
                </pic:pic>
              </a:graphicData>
            </a:graphic>
          </wp:inline>
        </w:drawing>
      </w:r>
    </w:p>
    <w:p w:rsidR="00CD4AAC" w:rsidRDefault="00CD4AAC" w:rsidP="00CD4AAC">
      <w:pPr>
        <w:spacing w:line="276" w:lineRule="auto"/>
        <w:jc w:val="both"/>
        <w:rPr>
          <w:rFonts w:eastAsia="Times New Roman"/>
          <w:b/>
          <w:i/>
        </w:rPr>
      </w:pPr>
    </w:p>
    <w:p w:rsidR="00CD4AAC" w:rsidRDefault="00CD4AAC" w:rsidP="00CD4AAC">
      <w:pPr>
        <w:spacing w:line="276" w:lineRule="auto"/>
        <w:jc w:val="center"/>
        <w:rPr>
          <w:rFonts w:eastAsia="Times New Roman"/>
          <w:i/>
        </w:rPr>
      </w:pPr>
      <w:r>
        <w:rPr>
          <w:rFonts w:eastAsia="Times New Roman"/>
          <w:i/>
        </w:rPr>
        <w:t>Figure 1. The media coverage diffusion of global epidemics</w:t>
      </w:r>
    </w:p>
    <w:p w:rsidR="00CD4AAC" w:rsidRPr="00CD4AAC" w:rsidRDefault="00CD4AAC" w:rsidP="000A5BD6">
      <w:pPr>
        <w:rPr>
          <w:rFonts w:asciiTheme="minorHAnsi" w:hAnsiTheme="minorHAnsi" w:cstheme="minorHAnsi"/>
        </w:rPr>
      </w:pPr>
      <w:bookmarkStart w:id="0" w:name="_heading=h.e95zyr10hnjk" w:colFirst="0" w:colLast="0"/>
      <w:bookmarkEnd w:id="0"/>
    </w:p>
    <w:p w:rsidR="000C334F" w:rsidRPr="000C334F" w:rsidRDefault="000C334F" w:rsidP="000A5BD6">
      <w:pPr>
        <w:rPr>
          <w:rFonts w:asciiTheme="minorHAnsi" w:hAnsiTheme="minorHAnsi" w:cstheme="minorHAnsi"/>
          <w:b/>
        </w:rPr>
      </w:pPr>
    </w:p>
    <w:p w:rsidR="000F4844" w:rsidRPr="00A30466" w:rsidRDefault="00A30466" w:rsidP="00A30466">
      <w:pPr>
        <w:pStyle w:val="Testonormale"/>
        <w:rPr>
          <w:rFonts w:asciiTheme="minorHAnsi" w:hAnsiTheme="minorHAnsi" w:cstheme="minorHAnsi"/>
          <w:b/>
          <w:bCs/>
          <w:sz w:val="20"/>
          <w:szCs w:val="20"/>
          <w:lang w:val="en-US"/>
        </w:rPr>
      </w:pPr>
      <w:proofErr w:type="spellStart"/>
      <w:r w:rsidRPr="00A30466">
        <w:rPr>
          <w:rFonts w:asciiTheme="minorHAnsi" w:hAnsiTheme="minorHAnsi" w:cstheme="minorHAnsi"/>
          <w:b/>
          <w:bCs/>
          <w:sz w:val="20"/>
          <w:szCs w:val="20"/>
          <w:lang w:val="en-US"/>
        </w:rPr>
        <w:t>Metodology</w:t>
      </w:r>
      <w:proofErr w:type="spellEnd"/>
    </w:p>
    <w:p w:rsidR="00A30466" w:rsidRPr="00A30466" w:rsidRDefault="00A30466" w:rsidP="00A30466">
      <w:pPr>
        <w:rPr>
          <w:rFonts w:asciiTheme="minorHAnsi" w:hAnsiTheme="minorHAnsi" w:cstheme="minorHAnsi"/>
        </w:rPr>
      </w:pPr>
      <w:r w:rsidRPr="00A30466">
        <w:rPr>
          <w:rFonts w:asciiTheme="minorHAnsi" w:hAnsiTheme="minorHAnsi" w:cstheme="minorHAnsi"/>
        </w:rPr>
        <w:t xml:space="preserve">To make sure that </w:t>
      </w:r>
      <w:proofErr w:type="gramStart"/>
      <w:r w:rsidRPr="00A30466">
        <w:rPr>
          <w:rFonts w:asciiTheme="minorHAnsi" w:hAnsiTheme="minorHAnsi" w:cstheme="minorHAnsi"/>
        </w:rPr>
        <w:t>results are not driven by the number of outlets we</w:t>
      </w:r>
      <w:proofErr w:type="gramEnd"/>
      <w:r w:rsidRPr="00A30466">
        <w:rPr>
          <w:rFonts w:asciiTheme="minorHAnsi" w:hAnsiTheme="minorHAnsi" w:cstheme="minorHAnsi"/>
        </w:rPr>
        <w:t xml:space="preserve"> normalized intensity by dividing the number of epidemic related articles by the total number of all articles (epidemic and non-epidemic related) collected on any given day. </w:t>
      </w:r>
      <w:proofErr w:type="gramStart"/>
      <w:r w:rsidRPr="00A30466">
        <w:rPr>
          <w:rFonts w:asciiTheme="minorHAnsi" w:hAnsiTheme="minorHAnsi" w:cstheme="minorHAnsi"/>
        </w:rPr>
        <w:t>So</w:t>
      </w:r>
      <w:proofErr w:type="gramEnd"/>
      <w:r w:rsidRPr="00A30466">
        <w:rPr>
          <w:rFonts w:asciiTheme="minorHAnsi" w:hAnsiTheme="minorHAnsi" w:cstheme="minorHAnsi"/>
        </w:rPr>
        <w:t xml:space="preserve"> even if SARS (2003-4) coverage contributed less articles in absolute terms, the denominator used to </w:t>
      </w:r>
      <w:r w:rsidRPr="00A30466">
        <w:rPr>
          <w:rFonts w:asciiTheme="minorHAnsi" w:hAnsiTheme="minorHAnsi" w:cstheme="minorHAnsi"/>
        </w:rPr>
        <w:t>normalize</w:t>
      </w:r>
      <w:r w:rsidRPr="00A30466">
        <w:rPr>
          <w:rFonts w:asciiTheme="minorHAnsi" w:hAnsiTheme="minorHAnsi" w:cstheme="minorHAnsi"/>
        </w:rPr>
        <w:t xml:space="preserve"> is also smaller, because for that period we only used one source (NYT archive). In later periods, we utilize our general </w:t>
      </w:r>
      <w:proofErr w:type="gramStart"/>
      <w:r w:rsidRPr="00A30466">
        <w:rPr>
          <w:rFonts w:asciiTheme="minorHAnsi" w:hAnsiTheme="minorHAnsi" w:cstheme="minorHAnsi"/>
        </w:rPr>
        <w:t>reservoir which</w:t>
      </w:r>
      <w:proofErr w:type="gramEnd"/>
      <w:r w:rsidRPr="00A30466">
        <w:rPr>
          <w:rFonts w:asciiTheme="minorHAnsi" w:hAnsiTheme="minorHAnsi" w:cstheme="minorHAnsi"/>
        </w:rPr>
        <w:t xml:space="preserve"> includes more outlets and therefore has a larger denominator.</w:t>
      </w:r>
    </w:p>
    <w:p w:rsidR="00A30466" w:rsidRPr="00A30466" w:rsidRDefault="00A30466" w:rsidP="00A30466">
      <w:pPr>
        <w:rPr>
          <w:rFonts w:asciiTheme="minorHAnsi" w:hAnsiTheme="minorHAnsi" w:cstheme="minorHAnsi"/>
        </w:rPr>
      </w:pPr>
    </w:p>
    <w:p w:rsidR="00A30466" w:rsidRPr="00A30466" w:rsidRDefault="00A30466" w:rsidP="00A30466">
      <w:pPr>
        <w:rPr>
          <w:rFonts w:asciiTheme="minorHAnsi" w:hAnsiTheme="minorHAnsi" w:cstheme="minorHAnsi"/>
        </w:rPr>
      </w:pPr>
      <w:r w:rsidRPr="00A30466">
        <w:rPr>
          <w:rFonts w:asciiTheme="minorHAnsi" w:hAnsiTheme="minorHAnsi" w:cstheme="minorHAnsi"/>
        </w:rPr>
        <w:t xml:space="preserve">For example, say that on a given day in 2003 we collected 100 articles (the only source we used for the early periods) and found that </w:t>
      </w:r>
      <w:proofErr w:type="gramStart"/>
      <w:r w:rsidRPr="00A30466">
        <w:rPr>
          <w:rFonts w:asciiTheme="minorHAnsi" w:hAnsiTheme="minorHAnsi" w:cstheme="minorHAnsi"/>
        </w:rPr>
        <w:t>7</w:t>
      </w:r>
      <w:proofErr w:type="gramEnd"/>
      <w:r w:rsidRPr="00A30466">
        <w:rPr>
          <w:rFonts w:asciiTheme="minorHAnsi" w:hAnsiTheme="minorHAnsi" w:cstheme="minorHAnsi"/>
        </w:rPr>
        <w:t xml:space="preserve"> of them are related to SARS. We would then report SARS media intensity of 7% (=7/100). Fast forward to the </w:t>
      </w:r>
      <w:proofErr w:type="spellStart"/>
      <w:r w:rsidRPr="00A30466">
        <w:rPr>
          <w:rFonts w:asciiTheme="minorHAnsi" w:hAnsiTheme="minorHAnsi" w:cstheme="minorHAnsi"/>
        </w:rPr>
        <w:t>Zika</w:t>
      </w:r>
      <w:proofErr w:type="spellEnd"/>
      <w:r w:rsidRPr="00A30466">
        <w:rPr>
          <w:rFonts w:asciiTheme="minorHAnsi" w:hAnsiTheme="minorHAnsi" w:cstheme="minorHAnsi"/>
        </w:rPr>
        <w:t xml:space="preserve"> outbreak, say we also found 7 </w:t>
      </w:r>
      <w:proofErr w:type="spellStart"/>
      <w:r w:rsidRPr="00A30466">
        <w:rPr>
          <w:rFonts w:asciiTheme="minorHAnsi" w:hAnsiTheme="minorHAnsi" w:cstheme="minorHAnsi"/>
        </w:rPr>
        <w:t>Zika</w:t>
      </w:r>
      <w:proofErr w:type="spellEnd"/>
      <w:r w:rsidRPr="00A30466">
        <w:rPr>
          <w:rFonts w:asciiTheme="minorHAnsi" w:hAnsiTheme="minorHAnsi" w:cstheme="minorHAnsi"/>
        </w:rPr>
        <w:t xml:space="preserve">-related articles on a given day but the daily pool of articles that day was 700 (a result of more sources participating in the panel), we would then report 1% intensity (=7/700). Therefore, although the number of </w:t>
      </w:r>
      <w:proofErr w:type="spellStart"/>
      <w:r w:rsidRPr="00A30466">
        <w:rPr>
          <w:rFonts w:asciiTheme="minorHAnsi" w:hAnsiTheme="minorHAnsi" w:cstheme="minorHAnsi"/>
        </w:rPr>
        <w:t>Zika</w:t>
      </w:r>
      <w:proofErr w:type="spellEnd"/>
      <w:r w:rsidRPr="00A30466">
        <w:rPr>
          <w:rFonts w:asciiTheme="minorHAnsi" w:hAnsiTheme="minorHAnsi" w:cstheme="minorHAnsi"/>
        </w:rPr>
        <w:t>-articles is equal to the number of SARS articles in this made up example the denominator (normalization factor) drives the reported intensity to be very different.</w:t>
      </w:r>
    </w:p>
    <w:p w:rsidR="00A30466" w:rsidRPr="00A30466" w:rsidRDefault="00A30466" w:rsidP="00A30466">
      <w:pPr>
        <w:rPr>
          <w:rFonts w:asciiTheme="minorHAnsi" w:hAnsiTheme="minorHAnsi" w:cstheme="minorHAnsi"/>
        </w:rPr>
      </w:pPr>
    </w:p>
    <w:p w:rsidR="00A30466" w:rsidRPr="00A30466" w:rsidRDefault="00A30466" w:rsidP="00A30466">
      <w:pPr>
        <w:rPr>
          <w:rFonts w:asciiTheme="minorHAnsi" w:hAnsiTheme="minorHAnsi" w:cstheme="minorHAnsi"/>
        </w:rPr>
      </w:pPr>
      <w:r w:rsidRPr="00A30466">
        <w:rPr>
          <w:rFonts w:asciiTheme="minorHAnsi" w:hAnsiTheme="minorHAnsi" w:cstheme="minorHAnsi"/>
        </w:rPr>
        <w:t>Other assumptions include that for each epidemic, date t=</w:t>
      </w:r>
      <w:proofErr w:type="gramStart"/>
      <w:r w:rsidRPr="00A30466">
        <w:rPr>
          <w:rFonts w:asciiTheme="minorHAnsi" w:hAnsiTheme="minorHAnsi" w:cstheme="minorHAnsi"/>
        </w:rPr>
        <w:t>1</w:t>
      </w:r>
      <w:proofErr w:type="gramEnd"/>
      <w:r w:rsidRPr="00A30466">
        <w:rPr>
          <w:rFonts w:asciiTheme="minorHAnsi" w:hAnsiTheme="minorHAnsi" w:cstheme="minorHAnsi"/>
        </w:rPr>
        <w:t xml:space="preserve"> signifies the first date for which there is a mention of the epidemic in the media reservoir (3/13/2003, 7/26/2014, 12/24/2015 and 1/6/2020 for SARS, Ebola, </w:t>
      </w:r>
      <w:proofErr w:type="spellStart"/>
      <w:r w:rsidRPr="00A30466">
        <w:rPr>
          <w:rFonts w:asciiTheme="minorHAnsi" w:hAnsiTheme="minorHAnsi" w:cstheme="minorHAnsi"/>
        </w:rPr>
        <w:t>Zika</w:t>
      </w:r>
      <w:proofErr w:type="spellEnd"/>
      <w:r w:rsidRPr="00A30466">
        <w:rPr>
          <w:rFonts w:asciiTheme="minorHAnsi" w:hAnsiTheme="minorHAnsi" w:cstheme="minorHAnsi"/>
        </w:rPr>
        <w:t>, and Corona respectively). </w:t>
      </w:r>
    </w:p>
    <w:p w:rsidR="00A30466" w:rsidRDefault="00A30466" w:rsidP="000A5BD6">
      <w:pPr>
        <w:rPr>
          <w:rFonts w:asciiTheme="minorHAnsi" w:hAnsiTheme="minorHAnsi" w:cstheme="minorHAnsi"/>
          <w:sz w:val="16"/>
          <w:szCs w:val="16"/>
        </w:rPr>
      </w:pPr>
    </w:p>
    <w:p w:rsidR="00127C0C" w:rsidRPr="00127C0C" w:rsidRDefault="00127C0C" w:rsidP="00127C0C">
      <w:pPr>
        <w:pStyle w:val="Testonormale"/>
        <w:rPr>
          <w:rFonts w:asciiTheme="minorHAnsi" w:hAnsiTheme="minorHAnsi" w:cstheme="minorHAnsi"/>
          <w:b/>
          <w:bCs/>
          <w:sz w:val="20"/>
          <w:szCs w:val="20"/>
          <w:lang w:val="en-US"/>
        </w:rPr>
      </w:pPr>
      <w:bookmarkStart w:id="1" w:name="_GoBack"/>
      <w:r>
        <w:rPr>
          <w:rFonts w:asciiTheme="minorHAnsi" w:hAnsiTheme="minorHAnsi" w:cstheme="minorHAnsi"/>
          <w:b/>
          <w:bCs/>
          <w:sz w:val="20"/>
          <w:szCs w:val="20"/>
          <w:lang w:val="en-US"/>
        </w:rPr>
        <w:t>*</w:t>
      </w:r>
      <w:bookmarkEnd w:id="1"/>
      <w:r>
        <w:rPr>
          <w:rFonts w:asciiTheme="minorHAnsi" w:hAnsiTheme="minorHAnsi" w:cstheme="minorHAnsi"/>
          <w:b/>
          <w:bCs/>
          <w:sz w:val="20"/>
          <w:szCs w:val="20"/>
          <w:lang w:val="en-US"/>
        </w:rPr>
        <w:t xml:space="preserve"> About </w:t>
      </w:r>
      <w:r w:rsidRPr="00127C0C">
        <w:rPr>
          <w:rFonts w:asciiTheme="minorHAnsi" w:hAnsiTheme="minorHAnsi" w:cstheme="minorHAnsi"/>
          <w:b/>
          <w:bCs/>
          <w:sz w:val="20"/>
          <w:szCs w:val="20"/>
          <w:lang w:val="en-US"/>
        </w:rPr>
        <w:t xml:space="preserve">State Street </w:t>
      </w:r>
      <w:proofErr w:type="spellStart"/>
      <w:r w:rsidRPr="00127C0C">
        <w:rPr>
          <w:rFonts w:asciiTheme="minorHAnsi" w:hAnsiTheme="minorHAnsi" w:cstheme="minorHAnsi"/>
          <w:b/>
          <w:bCs/>
          <w:sz w:val="20"/>
          <w:szCs w:val="20"/>
          <w:lang w:val="en-US"/>
        </w:rPr>
        <w:t>MediaStats</w:t>
      </w:r>
      <w:proofErr w:type="spellEnd"/>
    </w:p>
    <w:p w:rsidR="00127C0C" w:rsidRPr="00127C0C" w:rsidRDefault="00127C0C" w:rsidP="00127C0C">
      <w:pPr>
        <w:pStyle w:val="Testonormale"/>
        <w:rPr>
          <w:rFonts w:asciiTheme="minorHAnsi" w:hAnsiTheme="minorHAnsi" w:cstheme="minorHAnsi"/>
          <w:sz w:val="20"/>
          <w:szCs w:val="20"/>
          <w:lang w:val="en-US"/>
        </w:rPr>
      </w:pPr>
      <w:r>
        <w:rPr>
          <w:rFonts w:asciiTheme="minorHAnsi" w:hAnsiTheme="minorHAnsi" w:cstheme="minorHAnsi"/>
          <w:sz w:val="20"/>
          <w:szCs w:val="20"/>
        </w:rPr>
        <w:t xml:space="preserve">State Street </w:t>
      </w:r>
      <w:proofErr w:type="spellStart"/>
      <w:r>
        <w:rPr>
          <w:rFonts w:asciiTheme="minorHAnsi" w:hAnsiTheme="minorHAnsi" w:cstheme="minorHAnsi"/>
          <w:sz w:val="20"/>
          <w:szCs w:val="20"/>
        </w:rPr>
        <w:t>MediaStats</w:t>
      </w:r>
      <w:proofErr w:type="spellEnd"/>
      <w:r>
        <w:rPr>
          <w:rFonts w:asciiTheme="minorHAnsi" w:hAnsiTheme="minorHAnsi" w:cstheme="minorHAnsi"/>
          <w:sz w:val="20"/>
          <w:szCs w:val="20"/>
        </w:rPr>
        <w:t xml:space="preserve"> scours more than 100,000 media sources as well as other “Big Data” sources to estimate future price changes and risks pertaining to individual equities, country equity indexes, and foreign exchange rates. Media derived insights are aggregated to understand broader industry and macroeconomic trends that help you leverage accurate, valuable and predictive insights for your investments</w:t>
      </w:r>
      <w:proofErr w:type="gramStart"/>
      <w:r>
        <w:rPr>
          <w:rFonts w:asciiTheme="minorHAnsi" w:hAnsiTheme="minorHAnsi" w:cstheme="minorHAnsi"/>
          <w:sz w:val="20"/>
          <w:szCs w:val="20"/>
        </w:rPr>
        <w:t>.</w:t>
      </w:r>
      <w:r w:rsidRPr="00127C0C">
        <w:rPr>
          <w:rFonts w:asciiTheme="minorHAnsi" w:hAnsiTheme="minorHAnsi" w:cstheme="minorHAnsi"/>
          <w:sz w:val="20"/>
          <w:szCs w:val="20"/>
          <w:lang w:val="en-US"/>
        </w:rPr>
        <w:t>.</w:t>
      </w:r>
      <w:proofErr w:type="gramEnd"/>
    </w:p>
    <w:p w:rsidR="00127C0C" w:rsidRPr="00127C0C" w:rsidRDefault="00127C0C" w:rsidP="000A5BD6">
      <w:pPr>
        <w:rPr>
          <w:rFonts w:asciiTheme="minorHAnsi" w:hAnsiTheme="minorHAnsi" w:cstheme="minorHAnsi"/>
          <w:sz w:val="16"/>
          <w:szCs w:val="16"/>
          <w:lang w:val="en-US"/>
        </w:rPr>
      </w:pPr>
    </w:p>
    <w:p w:rsidR="00127C0C" w:rsidRDefault="00127C0C" w:rsidP="000A5BD6">
      <w:pPr>
        <w:rPr>
          <w:rFonts w:asciiTheme="minorHAnsi" w:hAnsiTheme="minorHAnsi" w:cstheme="minorHAnsi"/>
          <w:sz w:val="16"/>
          <w:szCs w:val="16"/>
        </w:rPr>
      </w:pPr>
    </w:p>
    <w:p w:rsidR="006B00B8" w:rsidRPr="000A5BD6" w:rsidRDefault="000A5BD6" w:rsidP="000A5BD6">
      <w:pPr>
        <w:rPr>
          <w:rFonts w:asciiTheme="minorHAnsi" w:hAnsiTheme="minorHAnsi" w:cstheme="minorHAnsi"/>
          <w:sz w:val="16"/>
          <w:szCs w:val="16"/>
        </w:rPr>
      </w:pPr>
      <w:r w:rsidRPr="000A5BD6">
        <w:rPr>
          <w:rFonts w:asciiTheme="minorHAnsi" w:hAnsiTheme="minorHAnsi" w:cstheme="minorHAnsi"/>
          <w:sz w:val="16"/>
          <w:szCs w:val="16"/>
        </w:rPr>
        <w:t>Investing involves risk including the risk of loss of principal.</w:t>
      </w:r>
      <w:r w:rsidRPr="000A5BD6">
        <w:rPr>
          <w:rFonts w:asciiTheme="minorHAnsi" w:hAnsiTheme="minorHAnsi" w:cstheme="minorHAnsi"/>
          <w:sz w:val="16"/>
          <w:szCs w:val="16"/>
        </w:rPr>
        <w:br/>
      </w:r>
      <w:r w:rsidRPr="000A5BD6">
        <w:rPr>
          <w:rFonts w:asciiTheme="minorHAnsi" w:hAnsiTheme="minorHAnsi" w:cstheme="minorHAnsi"/>
          <w:sz w:val="16"/>
          <w:szCs w:val="16"/>
        </w:rPr>
        <w:br/>
        <w:t xml:space="preserve">The information provided does not constitute investment advice and it </w:t>
      </w:r>
      <w:proofErr w:type="gramStart"/>
      <w:r w:rsidRPr="000A5BD6">
        <w:rPr>
          <w:rFonts w:asciiTheme="minorHAnsi" w:hAnsiTheme="minorHAnsi" w:cstheme="minorHAnsi"/>
          <w:sz w:val="16"/>
          <w:szCs w:val="16"/>
        </w:rPr>
        <w:t>should not be relied on</w:t>
      </w:r>
      <w:proofErr w:type="gramEnd"/>
      <w:r w:rsidRPr="000A5BD6">
        <w:rPr>
          <w:rFonts w:asciiTheme="minorHAnsi" w:hAnsiTheme="minorHAnsi" w:cstheme="minorHAnsi"/>
          <w:sz w:val="16"/>
          <w:szCs w:val="16"/>
        </w:rPr>
        <w:t xml:space="preserve"> as such. It </w:t>
      </w:r>
      <w:proofErr w:type="gramStart"/>
      <w:r w:rsidRPr="000A5BD6">
        <w:rPr>
          <w:rFonts w:asciiTheme="minorHAnsi" w:hAnsiTheme="minorHAnsi" w:cstheme="minorHAnsi"/>
          <w:sz w:val="16"/>
          <w:szCs w:val="16"/>
        </w:rPr>
        <w:t>should not be considered</w:t>
      </w:r>
      <w:proofErr w:type="gramEnd"/>
      <w:r w:rsidRPr="000A5BD6">
        <w:rPr>
          <w:rFonts w:asciiTheme="minorHAnsi" w:hAnsiTheme="minorHAnsi" w:cstheme="minorHAnsi"/>
          <w:sz w:val="16"/>
          <w:szCs w:val="16"/>
        </w:rPr>
        <w:t xml:space="preserve"> a solicitation to buy or an offer to sell a security. It does not take into account any investor's particular investment objectives, strategies, tax status or investment horizon.  You should consult your tax and financial advisor. All material </w:t>
      </w:r>
      <w:proofErr w:type="gramStart"/>
      <w:r w:rsidRPr="000A5BD6">
        <w:rPr>
          <w:rFonts w:asciiTheme="minorHAnsi" w:hAnsiTheme="minorHAnsi" w:cstheme="minorHAnsi"/>
          <w:sz w:val="16"/>
          <w:szCs w:val="16"/>
        </w:rPr>
        <w:t>has been obtained</w:t>
      </w:r>
      <w:proofErr w:type="gramEnd"/>
      <w:r w:rsidRPr="000A5BD6">
        <w:rPr>
          <w:rFonts w:asciiTheme="minorHAnsi" w:hAnsiTheme="minorHAnsi" w:cstheme="minorHAnsi"/>
          <w:sz w:val="16"/>
          <w:szCs w:val="16"/>
        </w:rPr>
        <w:t xml:space="preserve"> from sources believed to be reliable. There is no representation or warranty as to the accuracy of the information and State Street shall have no liability for decisions based on such information.</w:t>
      </w:r>
    </w:p>
    <w:p w:rsidR="000A5BD6" w:rsidRPr="000A5BD6" w:rsidRDefault="000A5BD6" w:rsidP="000A5BD6">
      <w:pPr>
        <w:jc w:val="both"/>
        <w:rPr>
          <w:rFonts w:asciiTheme="minorHAnsi" w:hAnsiTheme="minorHAnsi" w:cstheme="minorHAnsi"/>
          <w:sz w:val="16"/>
          <w:szCs w:val="16"/>
        </w:rPr>
      </w:pPr>
      <w:r w:rsidRPr="000A5BD6">
        <w:rPr>
          <w:rFonts w:asciiTheme="minorHAnsi" w:hAnsiTheme="minorHAnsi" w:cstheme="minorHAnsi"/>
          <w:sz w:val="16"/>
          <w:szCs w:val="16"/>
        </w:rPr>
        <w:t>The views expressed in this material are the views of State Street through the period ended August 28, 2019 and are subject to change based on market and other conditions.</w:t>
      </w:r>
    </w:p>
    <w:p w:rsidR="000A5BD6" w:rsidRPr="000A5BD6" w:rsidRDefault="000A5BD6" w:rsidP="000A5BD6">
      <w:pPr>
        <w:rPr>
          <w:rFonts w:asciiTheme="minorHAnsi" w:hAnsiTheme="minorHAnsi" w:cstheme="minorHAnsi"/>
          <w:sz w:val="16"/>
          <w:szCs w:val="16"/>
        </w:rPr>
      </w:pPr>
      <w:r w:rsidRPr="000A5BD6">
        <w:rPr>
          <w:rFonts w:asciiTheme="minorHAnsi" w:hAnsiTheme="minorHAnsi" w:cstheme="minorHAnsi"/>
          <w:sz w:val="16"/>
          <w:szCs w:val="16"/>
        </w:rPr>
        <w:t xml:space="preserve">This news announcement contains forward-looking statements as defined by United States securities laws, including statements about the financial outlook and business environment. Those statements </w:t>
      </w:r>
      <w:proofErr w:type="gramStart"/>
      <w:r w:rsidRPr="000A5BD6">
        <w:rPr>
          <w:rFonts w:asciiTheme="minorHAnsi" w:hAnsiTheme="minorHAnsi" w:cstheme="minorHAnsi"/>
          <w:sz w:val="16"/>
          <w:szCs w:val="16"/>
        </w:rPr>
        <w:t>are based</w:t>
      </w:r>
      <w:proofErr w:type="gramEnd"/>
      <w:r w:rsidRPr="000A5BD6">
        <w:rPr>
          <w:rFonts w:asciiTheme="minorHAnsi" w:hAnsiTheme="minorHAnsi" w:cstheme="minorHAnsi"/>
          <w:sz w:val="16"/>
          <w:szCs w:val="16"/>
        </w:rPr>
        <w:t xml:space="preserve"> on current expectations and involve a number of risks and uncertainties, including those set forth in State Street's 2015 annual report and subsequent SEC filings.  State Street encourages investors to read the corporation's annual report, particularly the section on factors that may affect financial results, and its subsequent SEC filings for additional information with respect to any forward-looking statements and prior to making any investment decision. The forward-looking statements contained in this press release speak only as of the date hereof, August 28, 2019 and the company will not undertake efforts to revise those forward-looking statements to reflect events after this date. </w:t>
      </w:r>
      <w:r w:rsidRPr="000A5BD6">
        <w:rPr>
          <w:rFonts w:asciiTheme="minorHAnsi" w:hAnsiTheme="minorHAnsi" w:cstheme="minorHAnsi"/>
          <w:sz w:val="16"/>
          <w:szCs w:val="16"/>
        </w:rPr>
        <w:br/>
      </w:r>
      <w:r w:rsidRPr="000A5BD6">
        <w:rPr>
          <w:rFonts w:asciiTheme="minorHAnsi" w:hAnsiTheme="minorHAnsi" w:cstheme="minorHAnsi"/>
          <w:sz w:val="16"/>
          <w:szCs w:val="16"/>
        </w:rPr>
        <w:br/>
        <w:t>State Street Corporation One Lincoln Street, Boston, MA 02111-2900.</w:t>
      </w:r>
      <w:r w:rsidRPr="000A5BD6">
        <w:rPr>
          <w:rFonts w:asciiTheme="minorHAnsi" w:hAnsiTheme="minorHAnsi" w:cstheme="minorHAnsi"/>
          <w:sz w:val="16"/>
          <w:szCs w:val="16"/>
        </w:rPr>
        <w:br/>
      </w:r>
      <w:r w:rsidRPr="000A5BD6">
        <w:rPr>
          <w:rFonts w:asciiTheme="minorHAnsi" w:hAnsiTheme="minorHAnsi" w:cstheme="minorHAnsi"/>
          <w:sz w:val="16"/>
          <w:szCs w:val="16"/>
        </w:rPr>
        <w:lastRenderedPageBreak/>
        <w:br/>
        <w:t xml:space="preserve">The whole or any part of this work </w:t>
      </w:r>
      <w:proofErr w:type="gramStart"/>
      <w:r w:rsidRPr="000A5BD6">
        <w:rPr>
          <w:rFonts w:asciiTheme="minorHAnsi" w:hAnsiTheme="minorHAnsi" w:cstheme="minorHAnsi"/>
          <w:sz w:val="16"/>
          <w:szCs w:val="16"/>
        </w:rPr>
        <w:t>may not be reproduced, copied or transmitted</w:t>
      </w:r>
      <w:proofErr w:type="gramEnd"/>
      <w:r w:rsidRPr="000A5BD6">
        <w:rPr>
          <w:rFonts w:asciiTheme="minorHAnsi" w:hAnsiTheme="minorHAnsi" w:cstheme="minorHAnsi"/>
          <w:sz w:val="16"/>
          <w:szCs w:val="16"/>
        </w:rPr>
        <w:t xml:space="preserve"> or any of its contents disclosed to third parties without State Street’s express written consent.</w:t>
      </w:r>
    </w:p>
    <w:p w:rsidR="000A5BD6" w:rsidRPr="000A5BD6" w:rsidRDefault="000A5BD6" w:rsidP="000A5BD6">
      <w:pPr>
        <w:jc w:val="both"/>
        <w:rPr>
          <w:rFonts w:asciiTheme="minorHAnsi" w:hAnsiTheme="minorHAnsi" w:cstheme="minorHAnsi"/>
          <w:sz w:val="16"/>
          <w:szCs w:val="16"/>
        </w:rPr>
      </w:pPr>
      <w:r w:rsidRPr="000A5BD6">
        <w:rPr>
          <w:rFonts w:asciiTheme="minorHAnsi" w:hAnsiTheme="minorHAnsi" w:cstheme="minorHAnsi"/>
          <w:sz w:val="16"/>
          <w:szCs w:val="16"/>
        </w:rPr>
        <w:t>© 20</w:t>
      </w:r>
      <w:r w:rsidR="00BC53A3">
        <w:rPr>
          <w:rFonts w:asciiTheme="minorHAnsi" w:hAnsiTheme="minorHAnsi" w:cstheme="minorHAnsi"/>
          <w:sz w:val="16"/>
          <w:szCs w:val="16"/>
        </w:rPr>
        <w:t>20</w:t>
      </w:r>
      <w:r w:rsidRPr="000A5BD6">
        <w:rPr>
          <w:rFonts w:asciiTheme="minorHAnsi" w:hAnsiTheme="minorHAnsi" w:cstheme="minorHAnsi"/>
          <w:sz w:val="16"/>
          <w:szCs w:val="16"/>
        </w:rPr>
        <w:t xml:space="preserve"> State Street Corporation - All Rights Reserved</w:t>
      </w:r>
    </w:p>
    <w:p w:rsidR="00DE20AA" w:rsidRPr="00DE20AA" w:rsidRDefault="00DE20AA">
      <w:pPr>
        <w:rPr>
          <w:rFonts w:asciiTheme="minorHAnsi" w:hAnsiTheme="minorHAnsi" w:cstheme="minorHAnsi"/>
          <w:sz w:val="16"/>
          <w:szCs w:val="16"/>
        </w:rPr>
      </w:pPr>
    </w:p>
    <w:sectPr w:rsidR="00DE20AA" w:rsidRPr="00DE20AA" w:rsidSect="007C6EB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42F" w:rsidRDefault="002E342F" w:rsidP="007C6EBE">
      <w:r>
        <w:separator/>
      </w:r>
    </w:p>
  </w:endnote>
  <w:endnote w:type="continuationSeparator" w:id="0">
    <w:p w:rsidR="002E342F" w:rsidRDefault="002E342F" w:rsidP="007C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rsidP="00BC53A3">
    <w:pPr>
      <w:pStyle w:val="Pidipagina"/>
      <w:rPr>
        <w:rFonts w:ascii="Arial" w:hAnsi="Arial" w:cs="Arial"/>
        <w:color w:val="000000"/>
        <w:sz w:val="18"/>
      </w:rPr>
    </w:pPr>
    <w:bookmarkStart w:id="2" w:name="SSCStd1FooterEvenPages"/>
    <w:r w:rsidRPr="00BC53A3">
      <w:rPr>
        <w:rFonts w:ascii="Arial" w:hAnsi="Arial" w:cs="Arial"/>
        <w:color w:val="000000"/>
        <w:sz w:val="18"/>
      </w:rPr>
      <w:t>Information Classification: General</w:t>
    </w:r>
  </w:p>
  <w:bookmarkEnd w:id="2"/>
  <w:p w:rsidR="00BC53A3" w:rsidRDefault="00BC53A3" w:rsidP="007C6EB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rsidP="00BC53A3">
    <w:pPr>
      <w:pStyle w:val="Pidipagina"/>
      <w:rPr>
        <w:rFonts w:ascii="Arial" w:hAnsi="Arial" w:cs="Arial"/>
        <w:color w:val="000000"/>
        <w:sz w:val="18"/>
      </w:rPr>
    </w:pPr>
    <w:bookmarkStart w:id="3" w:name="SSCStd1FooterPrimary"/>
    <w:r w:rsidRPr="00BC53A3">
      <w:rPr>
        <w:rFonts w:ascii="Arial" w:hAnsi="Arial" w:cs="Arial"/>
        <w:color w:val="000000"/>
        <w:sz w:val="18"/>
      </w:rPr>
      <w:t>Information Classification: General</w:t>
    </w:r>
  </w:p>
  <w:bookmarkEnd w:id="3"/>
  <w:p w:rsidR="00BC53A3" w:rsidRDefault="00BC53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2F" w:rsidRDefault="002E342F" w:rsidP="007C6EBE">
      <w:r>
        <w:separator/>
      </w:r>
    </w:p>
  </w:footnote>
  <w:footnote w:type="continuationSeparator" w:id="0">
    <w:p w:rsidR="002E342F" w:rsidRDefault="002E342F" w:rsidP="007C6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A3" w:rsidRDefault="00BC53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A71D9"/>
    <w:multiLevelType w:val="hybridMultilevel"/>
    <w:tmpl w:val="A57E7E02"/>
    <w:lvl w:ilvl="0" w:tplc="91A4A766">
      <w:start w:val="1"/>
      <w:numFmt w:val="decimal"/>
      <w:pStyle w:val="SSGMFigureHeading"/>
      <w:lvlText w:val="Figure %1:"/>
      <w:lvlJc w:val="left"/>
      <w:pPr>
        <w:ind w:left="720" w:hanging="360"/>
      </w:pPr>
      <w:rPr>
        <w:rFonts w:cs="Times New Roman"/>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283"/>
  <w:evenAndOddHeaders/>
  <w:drawingGridHorizontalSpacing w:val="9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D6"/>
    <w:rsid w:val="00005D8B"/>
    <w:rsid w:val="00023C37"/>
    <w:rsid w:val="00031E36"/>
    <w:rsid w:val="00035A4C"/>
    <w:rsid w:val="000A5BD6"/>
    <w:rsid w:val="000C334F"/>
    <w:rsid w:val="000F4844"/>
    <w:rsid w:val="00127C0C"/>
    <w:rsid w:val="00187646"/>
    <w:rsid w:val="0024717A"/>
    <w:rsid w:val="00297DCB"/>
    <w:rsid w:val="002B10EE"/>
    <w:rsid w:val="002E342F"/>
    <w:rsid w:val="002F681E"/>
    <w:rsid w:val="00321298"/>
    <w:rsid w:val="003331DB"/>
    <w:rsid w:val="00342DDC"/>
    <w:rsid w:val="00371BDD"/>
    <w:rsid w:val="00382721"/>
    <w:rsid w:val="003B62EB"/>
    <w:rsid w:val="003D658E"/>
    <w:rsid w:val="003E6146"/>
    <w:rsid w:val="0042168B"/>
    <w:rsid w:val="00487734"/>
    <w:rsid w:val="004A0336"/>
    <w:rsid w:val="00540553"/>
    <w:rsid w:val="00564FBD"/>
    <w:rsid w:val="00577DD6"/>
    <w:rsid w:val="005919A8"/>
    <w:rsid w:val="005B1C4B"/>
    <w:rsid w:val="005F3476"/>
    <w:rsid w:val="0066000F"/>
    <w:rsid w:val="00665748"/>
    <w:rsid w:val="006B00B8"/>
    <w:rsid w:val="006D1957"/>
    <w:rsid w:val="0070333B"/>
    <w:rsid w:val="00703BE7"/>
    <w:rsid w:val="0071147C"/>
    <w:rsid w:val="0073642C"/>
    <w:rsid w:val="007760A7"/>
    <w:rsid w:val="00787457"/>
    <w:rsid w:val="0079707F"/>
    <w:rsid w:val="007C6EBE"/>
    <w:rsid w:val="007C7D58"/>
    <w:rsid w:val="007D509E"/>
    <w:rsid w:val="007D5AB7"/>
    <w:rsid w:val="007D6BC7"/>
    <w:rsid w:val="0084024D"/>
    <w:rsid w:val="00846567"/>
    <w:rsid w:val="00882ED4"/>
    <w:rsid w:val="00885D27"/>
    <w:rsid w:val="008B0ABD"/>
    <w:rsid w:val="00940290"/>
    <w:rsid w:val="00945A0B"/>
    <w:rsid w:val="009A285C"/>
    <w:rsid w:val="00A271FE"/>
    <w:rsid w:val="00A30466"/>
    <w:rsid w:val="00A84DE7"/>
    <w:rsid w:val="00A8510B"/>
    <w:rsid w:val="00A8769A"/>
    <w:rsid w:val="00AB22BA"/>
    <w:rsid w:val="00AD2E55"/>
    <w:rsid w:val="00AD57EF"/>
    <w:rsid w:val="00B21CD4"/>
    <w:rsid w:val="00B23785"/>
    <w:rsid w:val="00B25853"/>
    <w:rsid w:val="00B5165A"/>
    <w:rsid w:val="00B70CC0"/>
    <w:rsid w:val="00BB38BB"/>
    <w:rsid w:val="00BC53A3"/>
    <w:rsid w:val="00BD7084"/>
    <w:rsid w:val="00C70CD1"/>
    <w:rsid w:val="00C84DB0"/>
    <w:rsid w:val="00C926B6"/>
    <w:rsid w:val="00CB4C5B"/>
    <w:rsid w:val="00CD4AAC"/>
    <w:rsid w:val="00CE6EFE"/>
    <w:rsid w:val="00CE7C59"/>
    <w:rsid w:val="00CF18B3"/>
    <w:rsid w:val="00D61E93"/>
    <w:rsid w:val="00DC66E0"/>
    <w:rsid w:val="00DD69FA"/>
    <w:rsid w:val="00DE20AA"/>
    <w:rsid w:val="00E55685"/>
    <w:rsid w:val="00E565B4"/>
    <w:rsid w:val="00E65EC7"/>
    <w:rsid w:val="00E866EE"/>
    <w:rsid w:val="00E86A85"/>
    <w:rsid w:val="00E87AED"/>
    <w:rsid w:val="00EE71F6"/>
    <w:rsid w:val="00EE7C30"/>
    <w:rsid w:val="00EF33CE"/>
    <w:rsid w:val="00F15D63"/>
    <w:rsid w:val="00F54B9F"/>
    <w:rsid w:val="00F64295"/>
    <w:rsid w:val="00F72157"/>
    <w:rsid w:val="00F769BA"/>
    <w:rsid w:val="00FB6425"/>
    <w:rsid w:val="00FC1913"/>
    <w:rsid w:val="00FC7159"/>
    <w:rsid w:val="00FD2E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E09F0A4-F19F-485B-8404-E573CE74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31E36"/>
  </w:style>
  <w:style w:type="paragraph" w:styleId="Titolo1">
    <w:name w:val="heading 1"/>
    <w:basedOn w:val="Normale"/>
    <w:next w:val="Normale"/>
    <w:link w:val="Titolo1Carattere"/>
    <w:uiPriority w:val="9"/>
    <w:qFormat/>
    <w:rsid w:val="00CD4AAC"/>
    <w:pPr>
      <w:keepNext/>
      <w:keepLines/>
      <w:spacing w:before="480" w:after="120" w:line="259" w:lineRule="auto"/>
      <w:outlineLvl w:val="0"/>
    </w:pPr>
    <w:rPr>
      <w:rFonts w:ascii="Calibri" w:eastAsia="Calibri" w:hAnsi="Calibri" w:cs="Calibri"/>
      <w:b/>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SGMTitle">
    <w:name w:val="SSGM_Title"/>
    <w:basedOn w:val="Normale"/>
    <w:link w:val="SSGMTitleChar"/>
    <w:qFormat/>
    <w:rsid w:val="00CF18B3"/>
    <w:pPr>
      <w:spacing w:after="140"/>
    </w:pPr>
    <w:rPr>
      <w:rFonts w:ascii="Arial" w:hAnsi="Arial" w:cs="Arial"/>
      <w:b/>
      <w:color w:val="0A2F5D" w:themeColor="accent1"/>
      <w:spacing w:val="-4"/>
      <w:sz w:val="44"/>
      <w:szCs w:val="36"/>
    </w:rPr>
  </w:style>
  <w:style w:type="character" w:customStyle="1" w:styleId="SSGMTitleChar">
    <w:name w:val="SSGM_Title Char"/>
    <w:basedOn w:val="Carpredefinitoparagrafo"/>
    <w:link w:val="SSGMTitle"/>
    <w:rsid w:val="00CF18B3"/>
    <w:rPr>
      <w:rFonts w:ascii="Arial" w:hAnsi="Arial" w:cs="Arial"/>
      <w:b/>
      <w:color w:val="0A2F5D" w:themeColor="accent1"/>
      <w:spacing w:val="-4"/>
      <w:sz w:val="44"/>
      <w:szCs w:val="36"/>
    </w:rPr>
  </w:style>
  <w:style w:type="paragraph" w:customStyle="1" w:styleId="SSGMHeader1">
    <w:name w:val="SSGM_Header_1"/>
    <w:basedOn w:val="Normale"/>
    <w:link w:val="SSGMHeader1Char"/>
    <w:qFormat/>
    <w:rsid w:val="00E86A85"/>
    <w:pPr>
      <w:spacing w:after="140" w:line="288" w:lineRule="auto"/>
      <w:jc w:val="both"/>
    </w:pPr>
    <w:rPr>
      <w:rFonts w:ascii="Arial" w:hAnsi="Arial" w:cs="Arial"/>
      <w:b/>
      <w:caps/>
      <w:color w:val="0A2F5D"/>
      <w:spacing w:val="-4"/>
      <w:sz w:val="19"/>
      <w:szCs w:val="24"/>
    </w:rPr>
  </w:style>
  <w:style w:type="character" w:customStyle="1" w:styleId="SSGMHeader1Char">
    <w:name w:val="SSGM_Header_1 Char"/>
    <w:basedOn w:val="Carpredefinitoparagrafo"/>
    <w:link w:val="SSGMHeader1"/>
    <w:rsid w:val="00E86A85"/>
    <w:rPr>
      <w:rFonts w:ascii="Arial" w:hAnsi="Arial" w:cs="Arial"/>
      <w:b/>
      <w:caps/>
      <w:color w:val="0A2F5D"/>
      <w:spacing w:val="-4"/>
      <w:sz w:val="19"/>
      <w:szCs w:val="24"/>
    </w:rPr>
  </w:style>
  <w:style w:type="paragraph" w:customStyle="1" w:styleId="SSGMHeader2">
    <w:name w:val="SSGM_Header_2"/>
    <w:basedOn w:val="Normale"/>
    <w:link w:val="SSGMHeader2Char"/>
    <w:qFormat/>
    <w:rsid w:val="00E86A85"/>
    <w:pPr>
      <w:spacing w:after="140" w:line="276" w:lineRule="auto"/>
      <w:jc w:val="both"/>
    </w:pPr>
    <w:rPr>
      <w:rFonts w:ascii="Arial" w:hAnsi="Arial" w:cs="Arial"/>
      <w:b/>
      <w:color w:val="65CCE9" w:themeColor="text2"/>
      <w:spacing w:val="-4"/>
      <w:sz w:val="19"/>
      <w:szCs w:val="24"/>
    </w:rPr>
  </w:style>
  <w:style w:type="character" w:customStyle="1" w:styleId="SSGMHeader2Char">
    <w:name w:val="SSGM_Header_2 Char"/>
    <w:basedOn w:val="Carpredefinitoparagrafo"/>
    <w:link w:val="SSGMHeader2"/>
    <w:rsid w:val="00E86A85"/>
    <w:rPr>
      <w:rFonts w:ascii="Arial" w:hAnsi="Arial" w:cs="Arial"/>
      <w:b/>
      <w:color w:val="65CCE9" w:themeColor="text2"/>
      <w:spacing w:val="-4"/>
      <w:sz w:val="19"/>
      <w:szCs w:val="24"/>
    </w:rPr>
  </w:style>
  <w:style w:type="paragraph" w:customStyle="1" w:styleId="SSGMbodytext">
    <w:name w:val="SSGM_body_text"/>
    <w:basedOn w:val="Normale"/>
    <w:link w:val="SSGMbodytextChar"/>
    <w:qFormat/>
    <w:rsid w:val="00E86A85"/>
    <w:pPr>
      <w:spacing w:after="140" w:line="288" w:lineRule="auto"/>
      <w:jc w:val="both"/>
    </w:pPr>
    <w:rPr>
      <w:rFonts w:ascii="Arial" w:hAnsi="Arial" w:cs="Arial"/>
      <w:spacing w:val="-4"/>
      <w:sz w:val="19"/>
      <w:szCs w:val="24"/>
    </w:rPr>
  </w:style>
  <w:style w:type="character" w:customStyle="1" w:styleId="SSGMbodytextChar">
    <w:name w:val="SSGM_body_text Char"/>
    <w:basedOn w:val="Carpredefinitoparagrafo"/>
    <w:link w:val="SSGMbodytext"/>
    <w:rsid w:val="00E86A85"/>
    <w:rPr>
      <w:rFonts w:ascii="Arial" w:hAnsi="Arial" w:cs="Arial"/>
      <w:spacing w:val="-4"/>
      <w:sz w:val="19"/>
      <w:szCs w:val="24"/>
    </w:rPr>
  </w:style>
  <w:style w:type="paragraph" w:customStyle="1" w:styleId="SSGMSource">
    <w:name w:val="SSGM_Source"/>
    <w:basedOn w:val="Normale"/>
    <w:link w:val="SSGMSourceChar"/>
    <w:qFormat/>
    <w:rsid w:val="00E86A85"/>
    <w:pPr>
      <w:spacing w:after="140" w:line="288" w:lineRule="auto"/>
      <w:jc w:val="both"/>
    </w:pPr>
    <w:rPr>
      <w:rFonts w:ascii="Arial" w:hAnsi="Arial"/>
      <w:bCs/>
      <w:color w:val="5C6670"/>
      <w:spacing w:val="-4"/>
      <w:sz w:val="14"/>
      <w:szCs w:val="24"/>
    </w:rPr>
  </w:style>
  <w:style w:type="character" w:customStyle="1" w:styleId="SSGMSourceChar">
    <w:name w:val="SSGM_Source Char"/>
    <w:basedOn w:val="Carpredefinitoparagrafo"/>
    <w:link w:val="SSGMSource"/>
    <w:rsid w:val="00E86A85"/>
    <w:rPr>
      <w:rFonts w:ascii="Arial" w:hAnsi="Arial"/>
      <w:bCs/>
      <w:color w:val="5C6670"/>
      <w:spacing w:val="-4"/>
      <w:sz w:val="14"/>
      <w:szCs w:val="24"/>
    </w:rPr>
  </w:style>
  <w:style w:type="paragraph" w:customStyle="1" w:styleId="SSGMAuthors">
    <w:name w:val="SSGM_Authors"/>
    <w:basedOn w:val="SSGMbodytext"/>
    <w:link w:val="SSGMAuthorsChar"/>
    <w:qFormat/>
    <w:rsid w:val="00E86A85"/>
    <w:pPr>
      <w:jc w:val="center"/>
    </w:pPr>
    <w:rPr>
      <w:b/>
      <w:color w:val="0A2F5D" w:themeColor="accent1"/>
      <w:sz w:val="18"/>
    </w:rPr>
  </w:style>
  <w:style w:type="character" w:customStyle="1" w:styleId="SSGMAuthorsChar">
    <w:name w:val="SSGM_Authors Char"/>
    <w:basedOn w:val="SSGMbodytextChar"/>
    <w:link w:val="SSGMAuthors"/>
    <w:rsid w:val="00E86A85"/>
    <w:rPr>
      <w:rFonts w:ascii="Arial" w:hAnsi="Arial" w:cs="Arial"/>
      <w:b/>
      <w:color w:val="0A2F5D" w:themeColor="accent1"/>
      <w:spacing w:val="-4"/>
      <w:sz w:val="18"/>
      <w:szCs w:val="24"/>
    </w:rPr>
  </w:style>
  <w:style w:type="table" w:customStyle="1" w:styleId="SSGMTable1">
    <w:name w:val="SSGM_Table1"/>
    <w:basedOn w:val="Tabellanormale"/>
    <w:next w:val="Grigliatabella"/>
    <w:rsid w:val="00940290"/>
    <w:rPr>
      <w:rFonts w:asciiTheme="minorHAnsi" w:hAnsiTheme="minorHAnsi"/>
      <w:sz w:val="16"/>
      <w:lang w:eastAsia="en-GB"/>
    </w:rPr>
    <w:tblPr>
      <w:tblStyleRowBandSize w:val="1"/>
      <w:tblBorders>
        <w:top w:val="single" w:sz="18" w:space="0" w:color="0A2F5D" w:themeColor="accent1"/>
        <w:bottom w:val="single" w:sz="18" w:space="0" w:color="0A2F5D" w:themeColor="accent1"/>
      </w:tblBorders>
    </w:tblPr>
    <w:tblStylePr w:type="firstRow">
      <w:rPr>
        <w:rFonts w:ascii="Arial" w:hAnsi="Arial"/>
        <w:b/>
        <w:i w:val="0"/>
        <w:color w:val="0A2F5D" w:themeColor="accent1"/>
        <w:sz w:val="18"/>
      </w:rPr>
      <w:tblPr>
        <w:jc w:val="center"/>
      </w:tblPr>
      <w:trPr>
        <w:jc w:val="center"/>
      </w:trPr>
      <w:tcPr>
        <w:tcBorders>
          <w:top w:val="single" w:sz="18" w:space="0" w:color="0A2F5D" w:themeColor="accent1"/>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8E3EA" w:themeFill="background2"/>
      </w:tcPr>
    </w:tblStylePr>
  </w:style>
  <w:style w:type="table" w:styleId="Grigliatabella">
    <w:name w:val="Table Grid"/>
    <w:basedOn w:val="Tabellanormale"/>
    <w:uiPriority w:val="59"/>
    <w:rsid w:val="0094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GMFigureHeading">
    <w:name w:val="SSGM_Figure_Heading"/>
    <w:basedOn w:val="Normale"/>
    <w:link w:val="SSGMFigureHeadingChar"/>
    <w:qFormat/>
    <w:rsid w:val="00C70CD1"/>
    <w:pPr>
      <w:keepNext/>
      <w:widowControl w:val="0"/>
      <w:numPr>
        <w:numId w:val="1"/>
      </w:numPr>
      <w:spacing w:before="40" w:after="40"/>
      <w:ind w:left="1418" w:hanging="1418"/>
    </w:pPr>
    <w:rPr>
      <w:rFonts w:ascii="Arial" w:hAnsi="Arial"/>
      <w:b/>
      <w:bCs/>
      <w:color w:val="0A2F5D"/>
      <w:spacing w:val="-4"/>
      <w:sz w:val="19"/>
    </w:rPr>
  </w:style>
  <w:style w:type="character" w:customStyle="1" w:styleId="SSGMFigureHeadingChar">
    <w:name w:val="SSGM_Figure_Heading Char"/>
    <w:basedOn w:val="Carpredefinitoparagrafo"/>
    <w:link w:val="SSGMFigureHeading"/>
    <w:rsid w:val="00C70CD1"/>
    <w:rPr>
      <w:rFonts w:ascii="Arial" w:hAnsi="Arial"/>
      <w:b/>
      <w:bCs/>
      <w:color w:val="0A2F5D"/>
      <w:spacing w:val="-4"/>
      <w:sz w:val="19"/>
    </w:rPr>
  </w:style>
  <w:style w:type="table" w:customStyle="1" w:styleId="SSGMFigure">
    <w:name w:val="SSGM_Figure"/>
    <w:basedOn w:val="Tabellanormale"/>
    <w:uiPriority w:val="99"/>
    <w:rsid w:val="00C70CD1"/>
    <w:rPr>
      <w:rFonts w:asciiTheme="minorHAnsi" w:hAnsiTheme="minorHAnsi"/>
    </w:rPr>
    <w:tblPr/>
    <w:tblStylePr w:type="firstRow">
      <w:tblPr/>
      <w:tcPr>
        <w:tcBorders>
          <w:top w:val="single" w:sz="18" w:space="0" w:color="0A2F5D" w:themeColor="accent1"/>
          <w:left w:val="nil"/>
          <w:bottom w:val="nil"/>
          <w:right w:val="nil"/>
          <w:insideH w:val="nil"/>
          <w:insideV w:val="nil"/>
          <w:tl2br w:val="nil"/>
          <w:tr2bl w:val="nil"/>
        </w:tcBorders>
      </w:tcPr>
    </w:tblStylePr>
  </w:style>
  <w:style w:type="table" w:customStyle="1" w:styleId="Style1">
    <w:name w:val="Style1"/>
    <w:basedOn w:val="Tabellanormale"/>
    <w:uiPriority w:val="99"/>
    <w:rsid w:val="00C70CD1"/>
    <w:tblPr/>
  </w:style>
  <w:style w:type="character" w:styleId="Collegamentoipertestuale">
    <w:name w:val="Hyperlink"/>
    <w:basedOn w:val="Carpredefinitoparagrafo"/>
    <w:uiPriority w:val="99"/>
    <w:semiHidden/>
    <w:unhideWhenUsed/>
    <w:rsid w:val="007C6EBE"/>
    <w:rPr>
      <w:rFonts w:ascii="Times New Roman" w:hAnsi="Times New Roman" w:cs="Times New Roman" w:hint="default"/>
      <w:color w:val="004990" w:themeColor="hyperlink"/>
      <w:u w:val="single"/>
    </w:rPr>
  </w:style>
  <w:style w:type="paragraph" w:styleId="Intestazione">
    <w:name w:val="header"/>
    <w:basedOn w:val="Normale"/>
    <w:link w:val="IntestazioneCarattere"/>
    <w:uiPriority w:val="99"/>
    <w:unhideWhenUsed/>
    <w:rsid w:val="007C6EBE"/>
    <w:pPr>
      <w:tabs>
        <w:tab w:val="center" w:pos="4513"/>
        <w:tab w:val="right" w:pos="9026"/>
      </w:tabs>
    </w:pPr>
  </w:style>
  <w:style w:type="character" w:customStyle="1" w:styleId="IntestazioneCarattere">
    <w:name w:val="Intestazione Carattere"/>
    <w:basedOn w:val="Carpredefinitoparagrafo"/>
    <w:link w:val="Intestazione"/>
    <w:uiPriority w:val="99"/>
    <w:rsid w:val="007C6EBE"/>
  </w:style>
  <w:style w:type="paragraph" w:styleId="Pidipagina">
    <w:name w:val="footer"/>
    <w:basedOn w:val="Normale"/>
    <w:link w:val="PidipaginaCarattere"/>
    <w:uiPriority w:val="99"/>
    <w:unhideWhenUsed/>
    <w:rsid w:val="007C6EBE"/>
    <w:pPr>
      <w:tabs>
        <w:tab w:val="center" w:pos="4513"/>
        <w:tab w:val="right" w:pos="9026"/>
      </w:tabs>
    </w:pPr>
  </w:style>
  <w:style w:type="character" w:customStyle="1" w:styleId="PidipaginaCarattere">
    <w:name w:val="Piè di pagina Carattere"/>
    <w:basedOn w:val="Carpredefinitoparagrafo"/>
    <w:link w:val="Pidipagina"/>
    <w:uiPriority w:val="99"/>
    <w:rsid w:val="007C6EBE"/>
  </w:style>
  <w:style w:type="character" w:styleId="Rimandocommento">
    <w:name w:val="annotation reference"/>
    <w:basedOn w:val="Carpredefinitoparagrafo"/>
    <w:uiPriority w:val="99"/>
    <w:semiHidden/>
    <w:unhideWhenUsed/>
    <w:rsid w:val="00BD7084"/>
    <w:rPr>
      <w:sz w:val="16"/>
      <w:szCs w:val="16"/>
    </w:rPr>
  </w:style>
  <w:style w:type="paragraph" w:styleId="Testocommento">
    <w:name w:val="annotation text"/>
    <w:basedOn w:val="Normale"/>
    <w:link w:val="TestocommentoCarattere"/>
    <w:uiPriority w:val="99"/>
    <w:unhideWhenUsed/>
    <w:rsid w:val="00BD7084"/>
  </w:style>
  <w:style w:type="character" w:customStyle="1" w:styleId="TestocommentoCarattere">
    <w:name w:val="Testo commento Carattere"/>
    <w:basedOn w:val="Carpredefinitoparagrafo"/>
    <w:link w:val="Testocommento"/>
    <w:uiPriority w:val="99"/>
    <w:rsid w:val="00BD7084"/>
  </w:style>
  <w:style w:type="paragraph" w:styleId="Soggettocommento">
    <w:name w:val="annotation subject"/>
    <w:basedOn w:val="Testocommento"/>
    <w:next w:val="Testocommento"/>
    <w:link w:val="SoggettocommentoCarattere"/>
    <w:uiPriority w:val="99"/>
    <w:semiHidden/>
    <w:unhideWhenUsed/>
    <w:rsid w:val="00BD7084"/>
    <w:rPr>
      <w:b/>
      <w:bCs/>
    </w:rPr>
  </w:style>
  <w:style w:type="character" w:customStyle="1" w:styleId="SoggettocommentoCarattere">
    <w:name w:val="Soggetto commento Carattere"/>
    <w:basedOn w:val="TestocommentoCarattere"/>
    <w:link w:val="Soggettocommento"/>
    <w:uiPriority w:val="99"/>
    <w:semiHidden/>
    <w:rsid w:val="00BD7084"/>
    <w:rPr>
      <w:b/>
      <w:bCs/>
    </w:rPr>
  </w:style>
  <w:style w:type="paragraph" w:styleId="Testofumetto">
    <w:name w:val="Balloon Text"/>
    <w:basedOn w:val="Normale"/>
    <w:link w:val="TestofumettoCarattere"/>
    <w:uiPriority w:val="99"/>
    <w:semiHidden/>
    <w:unhideWhenUsed/>
    <w:rsid w:val="00BD70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7084"/>
    <w:rPr>
      <w:rFonts w:ascii="Segoe UI" w:hAnsi="Segoe UI" w:cs="Segoe UI"/>
      <w:sz w:val="18"/>
      <w:szCs w:val="18"/>
    </w:rPr>
  </w:style>
  <w:style w:type="paragraph" w:customStyle="1" w:styleId="Default">
    <w:name w:val="Default"/>
    <w:rsid w:val="000F4844"/>
    <w:pPr>
      <w:autoSpaceDE w:val="0"/>
      <w:autoSpaceDN w:val="0"/>
      <w:adjustRightInd w:val="0"/>
    </w:pPr>
    <w:rPr>
      <w:rFonts w:ascii="Arial" w:eastAsiaTheme="minorHAnsi" w:hAnsi="Arial" w:cs="Arial"/>
      <w:color w:val="000000"/>
      <w:sz w:val="24"/>
      <w:szCs w:val="24"/>
      <w:lang w:eastAsia="en-US"/>
    </w:rPr>
  </w:style>
  <w:style w:type="character" w:customStyle="1" w:styleId="Titolo1Carattere">
    <w:name w:val="Titolo 1 Carattere"/>
    <w:basedOn w:val="Carpredefinitoparagrafo"/>
    <w:link w:val="Titolo1"/>
    <w:uiPriority w:val="9"/>
    <w:rsid w:val="00CD4AAC"/>
    <w:rPr>
      <w:rFonts w:ascii="Calibri" w:eastAsia="Calibri" w:hAnsi="Calibri" w:cs="Calibri"/>
      <w:b/>
      <w:sz w:val="48"/>
      <w:szCs w:val="48"/>
    </w:rPr>
  </w:style>
  <w:style w:type="paragraph" w:styleId="Testonormale">
    <w:name w:val="Plain Text"/>
    <w:basedOn w:val="Normale"/>
    <w:link w:val="TestonormaleCarattere"/>
    <w:uiPriority w:val="99"/>
    <w:semiHidden/>
    <w:unhideWhenUsed/>
    <w:rsid w:val="00127C0C"/>
    <w:rPr>
      <w:rFonts w:ascii="Calibri" w:hAnsi="Calibri" w:cs="Calibri"/>
      <w:sz w:val="22"/>
      <w:szCs w:val="22"/>
    </w:rPr>
  </w:style>
  <w:style w:type="character" w:customStyle="1" w:styleId="TestonormaleCarattere">
    <w:name w:val="Testo normale Carattere"/>
    <w:basedOn w:val="Carpredefinitoparagrafo"/>
    <w:link w:val="Testonormale"/>
    <w:uiPriority w:val="99"/>
    <w:semiHidden/>
    <w:rsid w:val="00127C0C"/>
    <w:rPr>
      <w:rFonts w:ascii="Calibri" w:hAnsi="Calibri" w:cs="Calibri"/>
      <w:sz w:val="22"/>
      <w:szCs w:val="22"/>
    </w:rPr>
  </w:style>
  <w:style w:type="character" w:customStyle="1" w:styleId="gmail-il">
    <w:name w:val="gmail-il"/>
    <w:basedOn w:val="Carpredefinitoparagrafo"/>
    <w:rsid w:val="00A3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67472">
      <w:bodyDiv w:val="1"/>
      <w:marLeft w:val="0"/>
      <w:marRight w:val="0"/>
      <w:marTop w:val="0"/>
      <w:marBottom w:val="0"/>
      <w:divBdr>
        <w:top w:val="none" w:sz="0" w:space="0" w:color="auto"/>
        <w:left w:val="none" w:sz="0" w:space="0" w:color="auto"/>
        <w:bottom w:val="none" w:sz="0" w:space="0" w:color="auto"/>
        <w:right w:val="none" w:sz="0" w:space="0" w:color="auto"/>
      </w:divBdr>
    </w:div>
    <w:div w:id="851147113">
      <w:bodyDiv w:val="1"/>
      <w:marLeft w:val="0"/>
      <w:marRight w:val="0"/>
      <w:marTop w:val="0"/>
      <w:marBottom w:val="0"/>
      <w:divBdr>
        <w:top w:val="none" w:sz="0" w:space="0" w:color="auto"/>
        <w:left w:val="none" w:sz="0" w:space="0" w:color="auto"/>
        <w:bottom w:val="none" w:sz="0" w:space="0" w:color="auto"/>
        <w:right w:val="none" w:sz="0" w:space="0" w:color="auto"/>
      </w:divBdr>
    </w:div>
    <w:div w:id="1003242745">
      <w:bodyDiv w:val="1"/>
      <w:marLeft w:val="0"/>
      <w:marRight w:val="0"/>
      <w:marTop w:val="0"/>
      <w:marBottom w:val="0"/>
      <w:divBdr>
        <w:top w:val="none" w:sz="0" w:space="0" w:color="auto"/>
        <w:left w:val="none" w:sz="0" w:space="0" w:color="auto"/>
        <w:bottom w:val="none" w:sz="0" w:space="0" w:color="auto"/>
        <w:right w:val="none" w:sz="0" w:space="0" w:color="auto"/>
      </w:divBdr>
    </w:div>
    <w:div w:id="1058935139">
      <w:bodyDiv w:val="1"/>
      <w:marLeft w:val="0"/>
      <w:marRight w:val="0"/>
      <w:marTop w:val="0"/>
      <w:marBottom w:val="0"/>
      <w:divBdr>
        <w:top w:val="none" w:sz="0" w:space="0" w:color="auto"/>
        <w:left w:val="none" w:sz="0" w:space="0" w:color="auto"/>
        <w:bottom w:val="none" w:sz="0" w:space="0" w:color="auto"/>
        <w:right w:val="none" w:sz="0" w:space="0" w:color="auto"/>
      </w:divBdr>
    </w:div>
    <w:div w:id="1267423765">
      <w:bodyDiv w:val="1"/>
      <w:marLeft w:val="0"/>
      <w:marRight w:val="0"/>
      <w:marTop w:val="0"/>
      <w:marBottom w:val="0"/>
      <w:divBdr>
        <w:top w:val="none" w:sz="0" w:space="0" w:color="auto"/>
        <w:left w:val="none" w:sz="0" w:space="0" w:color="auto"/>
        <w:bottom w:val="none" w:sz="0" w:space="0" w:color="auto"/>
        <w:right w:val="none" w:sz="0" w:space="0" w:color="auto"/>
      </w:divBdr>
    </w:div>
    <w:div w:id="1283877880">
      <w:bodyDiv w:val="1"/>
      <w:marLeft w:val="0"/>
      <w:marRight w:val="0"/>
      <w:marTop w:val="0"/>
      <w:marBottom w:val="0"/>
      <w:divBdr>
        <w:top w:val="none" w:sz="0" w:space="0" w:color="auto"/>
        <w:left w:val="none" w:sz="0" w:space="0" w:color="auto"/>
        <w:bottom w:val="none" w:sz="0" w:space="0" w:color="auto"/>
        <w:right w:val="none" w:sz="0" w:space="0" w:color="auto"/>
      </w:divBdr>
    </w:div>
    <w:div w:id="1430585591">
      <w:bodyDiv w:val="1"/>
      <w:marLeft w:val="0"/>
      <w:marRight w:val="0"/>
      <w:marTop w:val="0"/>
      <w:marBottom w:val="0"/>
      <w:divBdr>
        <w:top w:val="none" w:sz="0" w:space="0" w:color="auto"/>
        <w:left w:val="none" w:sz="0" w:space="0" w:color="auto"/>
        <w:bottom w:val="none" w:sz="0" w:space="0" w:color="auto"/>
        <w:right w:val="none" w:sz="0" w:space="0" w:color="auto"/>
      </w:divBdr>
    </w:div>
    <w:div w:id="1791969640">
      <w:bodyDiv w:val="1"/>
      <w:marLeft w:val="0"/>
      <w:marRight w:val="0"/>
      <w:marTop w:val="0"/>
      <w:marBottom w:val="0"/>
      <w:divBdr>
        <w:top w:val="none" w:sz="0" w:space="0" w:color="auto"/>
        <w:left w:val="none" w:sz="0" w:space="0" w:color="auto"/>
        <w:bottom w:val="none" w:sz="0" w:space="0" w:color="auto"/>
        <w:right w:val="none" w:sz="0" w:space="0" w:color="auto"/>
      </w:divBdr>
    </w:div>
    <w:div w:id="2006086213">
      <w:bodyDiv w:val="1"/>
      <w:marLeft w:val="0"/>
      <w:marRight w:val="0"/>
      <w:marTop w:val="0"/>
      <w:marBottom w:val="0"/>
      <w:divBdr>
        <w:top w:val="none" w:sz="0" w:space="0" w:color="auto"/>
        <w:left w:val="none" w:sz="0" w:space="0" w:color="auto"/>
        <w:bottom w:val="none" w:sz="0" w:space="0" w:color="auto"/>
        <w:right w:val="none" w:sz="0" w:space="0" w:color="auto"/>
      </w:divBdr>
    </w:div>
    <w:div w:id="2117286600">
      <w:bodyDiv w:val="1"/>
      <w:marLeft w:val="0"/>
      <w:marRight w:val="0"/>
      <w:marTop w:val="0"/>
      <w:marBottom w:val="0"/>
      <w:divBdr>
        <w:top w:val="none" w:sz="0" w:space="0" w:color="auto"/>
        <w:left w:val="none" w:sz="0" w:space="0" w:color="auto"/>
        <w:bottom w:val="none" w:sz="0" w:space="0" w:color="auto"/>
        <w:right w:val="none" w:sz="0" w:space="0" w:color="auto"/>
      </w:divBdr>
    </w:div>
    <w:div w:id="21360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street.com/solutions/by-capability/ssgm.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i_k65xhdo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SSGM">
  <a:themeElements>
    <a:clrScheme name="SSGM">
      <a:dk1>
        <a:sysClr val="windowText" lastClr="000000"/>
      </a:dk1>
      <a:lt1>
        <a:sysClr val="window" lastClr="FFFFFF"/>
      </a:lt1>
      <a:dk2>
        <a:srgbClr val="65CCE9"/>
      </a:dk2>
      <a:lt2>
        <a:srgbClr val="D8E3EA"/>
      </a:lt2>
      <a:accent1>
        <a:srgbClr val="0A2F5D"/>
      </a:accent1>
      <a:accent2>
        <a:srgbClr val="F56E00"/>
      </a:accent2>
      <a:accent3>
        <a:srgbClr val="87BCD1"/>
      </a:accent3>
      <a:accent4>
        <a:srgbClr val="AA1A33"/>
      </a:accent4>
      <a:accent5>
        <a:srgbClr val="5E4565"/>
      </a:accent5>
      <a:accent6>
        <a:srgbClr val="00AE79"/>
      </a:accent6>
      <a:hlink>
        <a:srgbClr val="004990"/>
      </a:hlink>
      <a:folHlink>
        <a:srgbClr val="65CCE9"/>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C1AE-A00E-45BA-ABB1-58EC93C2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Metcalfe, Michael</dc:creator>
  <cp:keywords>General</cp:keywords>
  <dc:description/>
  <cp:lastModifiedBy>Nicole Zancanella</cp:lastModifiedBy>
  <cp:revision>5</cp:revision>
  <dcterms:created xsi:type="dcterms:W3CDTF">2020-02-04T08:56:00Z</dcterms:created>
  <dcterms:modified xsi:type="dcterms:W3CDTF">2020-02-04T09:04:00Z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31875e94-c3cd-4d52-9c31-800baeaaab55</vt:lpwstr>
  </property>
  <property fmtid="{D5CDD505-2E9C-101B-9397-08002B2CF9AE}" pid="4" name="_NewReviewCycle">
    <vt:lpwstr/>
  </property>
  <property fmtid="{D5CDD505-2E9C-101B-9397-08002B2CF9AE}" pid="9" name="SSCClassification">
    <vt:lpwstr>G</vt:lpwstr>
  </property>
  <property fmtid="{D5CDD505-2E9C-101B-9397-08002B2CF9AE}" pid="10" name="SSCVisualMarks">
    <vt:lpwstr>Y</vt:lpwstr>
  </property>
</Properties>
</file>